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Ind w:w="-7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892"/>
        <w:gridCol w:w="3939"/>
      </w:tblGrid>
      <w:tr w:rsidR="00297558" w:rsidRPr="00C20EEF" w:rsidTr="00F14738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Тимирязевское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сельское поселение»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297558" w:rsidRPr="00C20EEF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7558" w:rsidRPr="00C20EEF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806291" wp14:editId="05520229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558" w:rsidRDefault="00297558" w:rsidP="00F1473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</w:p>
          <w:p w:rsidR="00297558" w:rsidRPr="00C20EEF" w:rsidRDefault="00297558" w:rsidP="00F1473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Тел.: 8(87777) 5-64-08</w:t>
            </w:r>
          </w:p>
        </w:tc>
        <w:tc>
          <w:tcPr>
            <w:tcW w:w="3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псэуп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I</w:t>
            </w: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297558" w:rsidRPr="003C5DD9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97558" w:rsidRPr="00C20EEF" w:rsidRDefault="00297558" w:rsidP="00F1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Pr="00EA1CF3" w:rsidRDefault="00297558" w:rsidP="0029755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EA1CF3">
        <w:rPr>
          <w:rFonts w:ascii="Times New Roman" w:hAnsi="Times New Roman"/>
          <w:b/>
          <w:sz w:val="32"/>
          <w:szCs w:val="32"/>
        </w:rPr>
        <w:t>ПОСТАНОВЛЕНИЕ</w:t>
      </w:r>
    </w:p>
    <w:p w:rsidR="00297558" w:rsidRDefault="00297558" w:rsidP="00297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B54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297558" w:rsidRPr="00A86B54" w:rsidRDefault="00297558" w:rsidP="00297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Тимирязевское</w:t>
      </w:r>
      <w:proofErr w:type="spellEnd"/>
      <w:r w:rsidRPr="00A86B5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97558" w:rsidRPr="00A86B54" w:rsidRDefault="00297558" w:rsidP="00297558">
      <w:pPr>
        <w:pStyle w:val="a3"/>
        <w:rPr>
          <w:rFonts w:ascii="Times New Roman" w:hAnsi="Times New Roman"/>
          <w:sz w:val="28"/>
          <w:szCs w:val="28"/>
        </w:rPr>
      </w:pPr>
    </w:p>
    <w:p w:rsidR="00297558" w:rsidRPr="003C5DD9" w:rsidRDefault="00684FB1" w:rsidP="00297558">
      <w:pPr>
        <w:pStyle w:val="a3"/>
        <w:rPr>
          <w:rFonts w:ascii="Times New Roman" w:hAnsi="Times New Roman"/>
          <w:sz w:val="28"/>
          <w:szCs w:val="28"/>
        </w:rPr>
      </w:pPr>
      <w:r w:rsidRPr="00684FB1">
        <w:rPr>
          <w:rFonts w:ascii="Times New Roman" w:hAnsi="Times New Roman"/>
          <w:sz w:val="28"/>
          <w:szCs w:val="28"/>
        </w:rPr>
        <w:t>30.04.</w:t>
      </w:r>
      <w:r w:rsidR="00B04DD6">
        <w:rPr>
          <w:rFonts w:ascii="Times New Roman" w:hAnsi="Times New Roman"/>
          <w:sz w:val="28"/>
          <w:szCs w:val="28"/>
        </w:rPr>
        <w:t>202</w:t>
      </w:r>
      <w:r w:rsidR="00B6673D">
        <w:rPr>
          <w:rFonts w:ascii="Times New Roman" w:hAnsi="Times New Roman"/>
          <w:sz w:val="28"/>
          <w:szCs w:val="28"/>
        </w:rPr>
        <w:t>1</w:t>
      </w:r>
      <w:r w:rsidR="00297558">
        <w:rPr>
          <w:rFonts w:ascii="Times New Roman" w:hAnsi="Times New Roman"/>
          <w:sz w:val="28"/>
          <w:szCs w:val="28"/>
        </w:rPr>
        <w:t xml:space="preserve"> </w:t>
      </w:r>
      <w:r w:rsidR="00297558" w:rsidRPr="00A86B54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 w:rsidR="00297558">
        <w:rPr>
          <w:rFonts w:ascii="Times New Roman" w:hAnsi="Times New Roman"/>
          <w:sz w:val="28"/>
          <w:szCs w:val="28"/>
        </w:rPr>
        <w:t xml:space="preserve"> </w:t>
      </w:r>
      <w:r w:rsidR="00297558" w:rsidRPr="00A86B54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B1">
        <w:rPr>
          <w:rFonts w:ascii="Times New Roman" w:hAnsi="Times New Roman"/>
          <w:sz w:val="28"/>
          <w:szCs w:val="28"/>
        </w:rPr>
        <w:t>42</w:t>
      </w:r>
    </w:p>
    <w:p w:rsidR="00297558" w:rsidRDefault="00297558" w:rsidP="00297558">
      <w:pPr>
        <w:spacing w:after="0" w:line="233" w:lineRule="auto"/>
        <w:ind w:right="3503"/>
        <w:rPr>
          <w:rFonts w:ascii="Times New Roman" w:eastAsia="Times New Roman" w:hAnsi="Times New Roman"/>
          <w:b/>
          <w:sz w:val="28"/>
        </w:rPr>
      </w:pPr>
    </w:p>
    <w:p w:rsidR="00297558" w:rsidRDefault="00297558" w:rsidP="0029755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2F098E">
        <w:rPr>
          <w:rFonts w:ascii="Times New Roman" w:eastAsia="Times New Roman" w:hAnsi="Times New Roman"/>
          <w:i/>
          <w:sz w:val="24"/>
          <w:szCs w:val="24"/>
        </w:rPr>
        <w:t xml:space="preserve">Об утверждении Порядка расходования субвенций </w:t>
      </w:r>
    </w:p>
    <w:p w:rsidR="00297558" w:rsidRDefault="00297558" w:rsidP="0029755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2F098E">
        <w:rPr>
          <w:rFonts w:ascii="Times New Roman" w:eastAsia="Times New Roman" w:hAnsi="Times New Roman"/>
          <w:i/>
          <w:sz w:val="24"/>
          <w:szCs w:val="24"/>
        </w:rPr>
        <w:t>из федерал</w:t>
      </w:r>
      <w:r>
        <w:rPr>
          <w:rFonts w:ascii="Times New Roman" w:eastAsia="Times New Roman" w:hAnsi="Times New Roman"/>
          <w:i/>
          <w:sz w:val="24"/>
          <w:szCs w:val="24"/>
        </w:rPr>
        <w:t>ьного бюджета на осуществление полномочий</w:t>
      </w:r>
    </w:p>
    <w:p w:rsidR="00297558" w:rsidRDefault="00297558" w:rsidP="0029755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F098E">
        <w:rPr>
          <w:rFonts w:ascii="Times New Roman" w:eastAsia="Times New Roman" w:hAnsi="Times New Roman"/>
          <w:i/>
          <w:sz w:val="24"/>
          <w:szCs w:val="24"/>
        </w:rPr>
        <w:t>по первичному воинскому учету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н</w:t>
      </w:r>
      <w:r w:rsidRPr="002F098E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F098E">
        <w:rPr>
          <w:rFonts w:ascii="Times New Roman" w:eastAsia="Times New Roman" w:hAnsi="Times New Roman"/>
          <w:i/>
          <w:sz w:val="24"/>
          <w:szCs w:val="24"/>
        </w:rPr>
        <w:t>территории</w:t>
      </w:r>
    </w:p>
    <w:p w:rsidR="00297558" w:rsidRDefault="00297558" w:rsidP="0029755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9D635E">
        <w:rPr>
          <w:rFonts w:ascii="Times New Roman" w:eastAsia="Times New Roman" w:hAnsi="Times New Roman"/>
          <w:i/>
          <w:sz w:val="24"/>
          <w:szCs w:val="24"/>
        </w:rPr>
        <w:t>МО «</w:t>
      </w:r>
      <w:proofErr w:type="spellStart"/>
      <w:r w:rsidRPr="009D635E">
        <w:rPr>
          <w:rFonts w:ascii="Times New Roman" w:eastAsia="Times New Roman" w:hAnsi="Times New Roman"/>
          <w:i/>
          <w:sz w:val="24"/>
          <w:szCs w:val="24"/>
        </w:rPr>
        <w:t>Тимирязевское</w:t>
      </w:r>
      <w:proofErr w:type="spellEnd"/>
      <w:r w:rsidRPr="009D635E">
        <w:rPr>
          <w:rFonts w:ascii="Times New Roman" w:eastAsia="Times New Roman" w:hAnsi="Times New Roman"/>
          <w:i/>
          <w:sz w:val="24"/>
          <w:szCs w:val="24"/>
        </w:rPr>
        <w:t xml:space="preserve"> сельское поселение»</w:t>
      </w:r>
      <w:r w:rsidRPr="002F098E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297558" w:rsidRDefault="00297558" w:rsidP="0029755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="00D6313C">
        <w:rPr>
          <w:rFonts w:ascii="Times New Roman" w:eastAsia="Times New Roman" w:hAnsi="Times New Roman"/>
          <w:i/>
          <w:sz w:val="24"/>
          <w:szCs w:val="24"/>
        </w:rPr>
        <w:t>М</w:t>
      </w:r>
      <w:r w:rsidR="00D6313C" w:rsidRPr="00DE0E6B">
        <w:rPr>
          <w:rFonts w:ascii="Times New Roman" w:eastAsia="Times New Roman" w:hAnsi="Times New Roman"/>
          <w:i/>
          <w:sz w:val="24"/>
          <w:szCs w:val="24"/>
        </w:rPr>
        <w:t xml:space="preserve">етодики </w:t>
      </w:r>
      <w:r w:rsidR="00D6313C" w:rsidRPr="009D635E">
        <w:rPr>
          <w:rFonts w:ascii="Times New Roman" w:eastAsia="Times New Roman" w:hAnsi="Times New Roman"/>
          <w:i/>
          <w:sz w:val="24"/>
          <w:szCs w:val="24"/>
        </w:rPr>
        <w:t>расчёта</w:t>
      </w:r>
      <w:r w:rsidRPr="009D635E">
        <w:rPr>
          <w:rFonts w:ascii="Times New Roman" w:eastAsia="Times New Roman" w:hAnsi="Times New Roman"/>
          <w:i/>
          <w:sz w:val="24"/>
          <w:szCs w:val="24"/>
        </w:rPr>
        <w:t xml:space="preserve"> затрат на осуществление полномочий </w:t>
      </w:r>
    </w:p>
    <w:p w:rsidR="00297558" w:rsidRDefault="00297558" w:rsidP="0029755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9D635E">
        <w:rPr>
          <w:rFonts w:ascii="Times New Roman" w:eastAsia="Times New Roman" w:hAnsi="Times New Roman"/>
          <w:i/>
          <w:sz w:val="24"/>
          <w:szCs w:val="24"/>
        </w:rPr>
        <w:t xml:space="preserve">по первичному воинскому учёту </w:t>
      </w:r>
      <w:r>
        <w:rPr>
          <w:rFonts w:ascii="Times New Roman" w:eastAsia="Times New Roman" w:hAnsi="Times New Roman"/>
          <w:i/>
          <w:sz w:val="24"/>
          <w:szCs w:val="24"/>
        </w:rPr>
        <w:t>н</w:t>
      </w:r>
      <w:r w:rsidRPr="002F098E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F098E">
        <w:rPr>
          <w:rFonts w:ascii="Times New Roman" w:eastAsia="Times New Roman" w:hAnsi="Times New Roman"/>
          <w:i/>
          <w:sz w:val="24"/>
          <w:szCs w:val="24"/>
        </w:rPr>
        <w:t>территории</w:t>
      </w:r>
    </w:p>
    <w:p w:rsidR="00297558" w:rsidRPr="00DE0E6B" w:rsidRDefault="00297558" w:rsidP="0029755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9D635E">
        <w:rPr>
          <w:rFonts w:ascii="Times New Roman" w:eastAsia="Times New Roman" w:hAnsi="Times New Roman"/>
          <w:i/>
          <w:sz w:val="24"/>
          <w:szCs w:val="24"/>
        </w:rPr>
        <w:t>МО «</w:t>
      </w:r>
      <w:proofErr w:type="spellStart"/>
      <w:r w:rsidRPr="009D635E">
        <w:rPr>
          <w:rFonts w:ascii="Times New Roman" w:eastAsia="Times New Roman" w:hAnsi="Times New Roman"/>
          <w:i/>
          <w:sz w:val="24"/>
          <w:szCs w:val="24"/>
        </w:rPr>
        <w:t>Тимирязевское</w:t>
      </w:r>
      <w:proofErr w:type="spellEnd"/>
      <w:r w:rsidRPr="009D635E">
        <w:rPr>
          <w:rFonts w:ascii="Times New Roman" w:eastAsia="Times New Roman" w:hAnsi="Times New Roman"/>
          <w:i/>
          <w:sz w:val="24"/>
          <w:szCs w:val="24"/>
        </w:rPr>
        <w:t xml:space="preserve"> сельское поселение»</w:t>
      </w:r>
      <w:r w:rsidRPr="002F098E">
        <w:rPr>
          <w:rFonts w:ascii="Times New Roman" w:eastAsia="Times New Roman" w:hAnsi="Times New Roman"/>
          <w:i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04DD6">
        <w:rPr>
          <w:rFonts w:ascii="Times New Roman" w:eastAsia="Times New Roman" w:hAnsi="Times New Roman"/>
          <w:i/>
          <w:sz w:val="24"/>
          <w:szCs w:val="24"/>
        </w:rPr>
        <w:t>2021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bookmarkEnd w:id="0"/>
    <w:p w:rsidR="00297558" w:rsidRPr="002F098E" w:rsidRDefault="00297558" w:rsidP="0029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98E">
        <w:rPr>
          <w:rFonts w:ascii="Times New Roman" w:hAnsi="Times New Roman"/>
          <w:sz w:val="28"/>
          <w:szCs w:val="28"/>
        </w:rPr>
        <w:t xml:space="preserve"> </w:t>
      </w:r>
    </w:p>
    <w:p w:rsidR="00297558" w:rsidRPr="00DE0E6B" w:rsidRDefault="00297558" w:rsidP="0029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0E6B"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Российской Федерации от 29.04.2006 года № 258 «О субвенциях на осуществление полномочий по первичному воинскому учету на территориях, где отсутствуют военные комиссариаты», приказа Министра обороны от 19.11.2007 года № 500 «О мерах по выполнению в Вооруженных Силах Российской Федерации Постановления  Правительства Российской Федерации от 27.11.2006 года № 719», статьи 8 «Организация  воинского учета» Федерального Закона от 28.03.1998 года № 53ФЗ «О воинской обязанности и военной службе», статей 133,140  Бюджетного кодекса Российской Федерации </w:t>
      </w:r>
    </w:p>
    <w:p w:rsidR="00297558" w:rsidRPr="00DE0E6B" w:rsidRDefault="00297558" w:rsidP="002975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6673D">
        <w:rPr>
          <w:rFonts w:ascii="Times New Roman" w:hAnsi="Times New Roman"/>
          <w:sz w:val="28"/>
          <w:szCs w:val="24"/>
        </w:rPr>
        <w:t>ПОСТАНОВЛЯЮ:</w:t>
      </w:r>
    </w:p>
    <w:p w:rsidR="00297558" w:rsidRDefault="00297558" w:rsidP="0029755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0E6B">
        <w:rPr>
          <w:rFonts w:ascii="Times New Roman" w:hAnsi="Times New Roman"/>
          <w:sz w:val="24"/>
          <w:szCs w:val="24"/>
        </w:rPr>
        <w:t>Утвердить Порядок расходования субвенций из федерального бюджета на осуществление полномочий по первичному воинскому учету на территории МО «</w:t>
      </w:r>
      <w:proofErr w:type="spellStart"/>
      <w:r w:rsidRPr="00DE0E6B">
        <w:rPr>
          <w:rFonts w:ascii="Times New Roman" w:hAnsi="Times New Roman"/>
          <w:sz w:val="24"/>
          <w:szCs w:val="24"/>
        </w:rPr>
        <w:t>Тимирязевское</w:t>
      </w:r>
      <w:proofErr w:type="spellEnd"/>
      <w:r w:rsidRPr="00DE0E6B">
        <w:rPr>
          <w:rFonts w:ascii="Times New Roman" w:hAnsi="Times New Roman"/>
          <w:sz w:val="24"/>
          <w:szCs w:val="24"/>
        </w:rPr>
        <w:t xml:space="preserve"> сельское поселение», согласно Приложения 1.</w:t>
      </w:r>
    </w:p>
    <w:p w:rsidR="00297558" w:rsidRPr="00DE0E6B" w:rsidRDefault="00297558" w:rsidP="0029755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0E6B">
        <w:rPr>
          <w:rFonts w:ascii="Times New Roman" w:hAnsi="Times New Roman"/>
          <w:sz w:val="24"/>
          <w:szCs w:val="24"/>
        </w:rPr>
        <w:t>Утвердить Методику</w:t>
      </w:r>
      <w:r w:rsidRPr="009D635E">
        <w:rPr>
          <w:rFonts w:ascii="Times New Roman" w:hAnsi="Times New Roman"/>
          <w:sz w:val="24"/>
          <w:szCs w:val="24"/>
        </w:rPr>
        <w:t xml:space="preserve"> расчёта затрат на осуществление полномочий по первичному воинскому учёту</w:t>
      </w:r>
      <w:r w:rsidRPr="00DE0E6B">
        <w:rPr>
          <w:rFonts w:ascii="Times New Roman" w:hAnsi="Times New Roman"/>
          <w:sz w:val="24"/>
          <w:szCs w:val="24"/>
        </w:rPr>
        <w:t xml:space="preserve"> на территории МО «</w:t>
      </w:r>
      <w:proofErr w:type="spellStart"/>
      <w:r w:rsidRPr="00DE0E6B">
        <w:rPr>
          <w:rFonts w:ascii="Times New Roman" w:hAnsi="Times New Roman"/>
          <w:sz w:val="24"/>
          <w:szCs w:val="24"/>
        </w:rPr>
        <w:t>Тимирязевское</w:t>
      </w:r>
      <w:proofErr w:type="spellEnd"/>
      <w:r w:rsidRPr="00DE0E6B">
        <w:rPr>
          <w:rFonts w:ascii="Times New Roman" w:hAnsi="Times New Roman"/>
          <w:sz w:val="24"/>
          <w:szCs w:val="24"/>
        </w:rPr>
        <w:t xml:space="preserve"> сельское поселение» на </w:t>
      </w:r>
      <w:r w:rsidR="00B04DD6">
        <w:rPr>
          <w:rFonts w:ascii="Times New Roman" w:hAnsi="Times New Roman"/>
          <w:sz w:val="24"/>
          <w:szCs w:val="24"/>
        </w:rPr>
        <w:t>202</w:t>
      </w:r>
      <w:r w:rsidR="00B66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E6B">
        <w:rPr>
          <w:rFonts w:ascii="Times New Roman" w:hAnsi="Times New Roman"/>
          <w:sz w:val="24"/>
          <w:szCs w:val="24"/>
        </w:rPr>
        <w:t>г, согласно Приложения 2.</w:t>
      </w:r>
    </w:p>
    <w:p w:rsidR="00297558" w:rsidRPr="00DE0E6B" w:rsidRDefault="00297558" w:rsidP="0029755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0E6B">
        <w:rPr>
          <w:rFonts w:ascii="Times New Roman" w:hAnsi="Times New Roman"/>
          <w:sz w:val="24"/>
          <w:szCs w:val="24"/>
        </w:rPr>
        <w:t>Постановление вступает в силу со дня его подписания и распространяется на правоотношения, возникшие с 01.01.</w:t>
      </w:r>
      <w:r w:rsidR="00B04DD6">
        <w:rPr>
          <w:rFonts w:ascii="Times New Roman" w:hAnsi="Times New Roman"/>
          <w:sz w:val="24"/>
          <w:szCs w:val="24"/>
        </w:rPr>
        <w:t>2021</w:t>
      </w:r>
      <w:r w:rsidRPr="00DE0E6B">
        <w:rPr>
          <w:rFonts w:ascii="Times New Roman" w:hAnsi="Times New Roman"/>
          <w:sz w:val="24"/>
          <w:szCs w:val="24"/>
        </w:rPr>
        <w:t xml:space="preserve">г. </w:t>
      </w:r>
    </w:p>
    <w:p w:rsidR="00297558" w:rsidRPr="00DE0E6B" w:rsidRDefault="00297558" w:rsidP="0029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6B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97558" w:rsidRPr="00DE0E6B" w:rsidRDefault="00297558" w:rsidP="0029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6B">
        <w:rPr>
          <w:rFonts w:ascii="Times New Roman" w:hAnsi="Times New Roman"/>
          <w:sz w:val="24"/>
          <w:szCs w:val="24"/>
        </w:rPr>
        <w:t>4. Настоящее постановление подлежит опубликованию на официальном Интернет-сайте администрации.</w:t>
      </w:r>
    </w:p>
    <w:p w:rsidR="00297558" w:rsidRPr="00B6673D" w:rsidRDefault="00297558" w:rsidP="002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97558" w:rsidRPr="00B6673D" w:rsidRDefault="00297558" w:rsidP="002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6673D">
        <w:rPr>
          <w:rFonts w:ascii="Times New Roman" w:hAnsi="Times New Roman"/>
          <w:b/>
          <w:sz w:val="28"/>
          <w:szCs w:val="24"/>
        </w:rPr>
        <w:t xml:space="preserve">Глава администрации МО                                              </w:t>
      </w:r>
    </w:p>
    <w:p w:rsidR="00297558" w:rsidRPr="00B6673D" w:rsidRDefault="00297558" w:rsidP="002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6673D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Pr="00B6673D">
        <w:rPr>
          <w:rFonts w:ascii="Times New Roman" w:hAnsi="Times New Roman"/>
          <w:b/>
          <w:sz w:val="28"/>
          <w:szCs w:val="24"/>
        </w:rPr>
        <w:t>Тимирязевское</w:t>
      </w:r>
      <w:proofErr w:type="spellEnd"/>
      <w:r w:rsidRPr="00B6673D">
        <w:rPr>
          <w:rFonts w:ascii="Times New Roman" w:hAnsi="Times New Roman"/>
          <w:b/>
          <w:sz w:val="28"/>
          <w:szCs w:val="24"/>
        </w:rPr>
        <w:t xml:space="preserve"> сельское </w:t>
      </w:r>
      <w:proofErr w:type="gramStart"/>
      <w:r w:rsidRPr="00B6673D">
        <w:rPr>
          <w:rFonts w:ascii="Times New Roman" w:hAnsi="Times New Roman"/>
          <w:b/>
          <w:sz w:val="28"/>
          <w:szCs w:val="24"/>
        </w:rPr>
        <w:t xml:space="preserve">поселение»   </w:t>
      </w:r>
      <w:proofErr w:type="gramEnd"/>
      <w:r w:rsidRPr="00B6673D">
        <w:rPr>
          <w:rFonts w:ascii="Times New Roman" w:hAnsi="Times New Roman"/>
          <w:b/>
          <w:sz w:val="28"/>
          <w:szCs w:val="24"/>
        </w:rPr>
        <w:t xml:space="preserve">                                     Н.А. </w:t>
      </w:r>
      <w:proofErr w:type="spellStart"/>
      <w:r w:rsidRPr="00B6673D">
        <w:rPr>
          <w:rFonts w:ascii="Times New Roman" w:hAnsi="Times New Roman"/>
          <w:b/>
          <w:sz w:val="28"/>
          <w:szCs w:val="24"/>
        </w:rPr>
        <w:t>Дельнов</w:t>
      </w:r>
      <w:proofErr w:type="spellEnd"/>
    </w:p>
    <w:p w:rsidR="00297558" w:rsidRPr="00DE0E6B" w:rsidRDefault="00297558" w:rsidP="00297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558" w:rsidRPr="00F37397" w:rsidRDefault="00297558" w:rsidP="00297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Подготовил:</w:t>
      </w:r>
    </w:p>
    <w:p w:rsidR="00297558" w:rsidRPr="00F37397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         </w:t>
      </w:r>
      <w:proofErr w:type="spellStart"/>
      <w:r w:rsidRPr="00F37397">
        <w:rPr>
          <w:rFonts w:ascii="Times New Roman" w:hAnsi="Times New Roman"/>
          <w:sz w:val="24"/>
          <w:szCs w:val="24"/>
        </w:rPr>
        <w:t>Н.В.Образцова</w:t>
      </w:r>
      <w:proofErr w:type="spellEnd"/>
      <w:r w:rsidRPr="00F37397">
        <w:rPr>
          <w:rFonts w:ascii="Times New Roman" w:hAnsi="Times New Roman"/>
          <w:sz w:val="24"/>
          <w:szCs w:val="24"/>
        </w:rPr>
        <w:t xml:space="preserve"> </w:t>
      </w:r>
    </w:p>
    <w:p w:rsidR="00297558" w:rsidRPr="00F37397" w:rsidRDefault="00297558" w:rsidP="00297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Согласовано.</w:t>
      </w:r>
    </w:p>
    <w:p w:rsidR="00297558" w:rsidRPr="00F37397" w:rsidRDefault="00297558" w:rsidP="00297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Правовая и антикоррупционная </w:t>
      </w:r>
    </w:p>
    <w:p w:rsidR="00297558" w:rsidRPr="00F37397" w:rsidRDefault="00297558" w:rsidP="00297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экспертиза проведена.</w:t>
      </w:r>
    </w:p>
    <w:p w:rsidR="00297558" w:rsidRPr="00F37397" w:rsidRDefault="00297558" w:rsidP="00297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Главный специалист по правовым вопросам                                            </w:t>
      </w:r>
      <w:r>
        <w:rPr>
          <w:rFonts w:ascii="Times New Roman" w:hAnsi="Times New Roman"/>
          <w:sz w:val="24"/>
          <w:szCs w:val="24"/>
        </w:rPr>
        <w:t>С.Н. Ратуев</w:t>
      </w:r>
    </w:p>
    <w:p w:rsidR="00297558" w:rsidRDefault="00297558" w:rsidP="00297558">
      <w:pPr>
        <w:spacing w:after="0" w:line="240" w:lineRule="auto"/>
        <w:rPr>
          <w:rFonts w:ascii="Times New Roman" w:hAnsi="Times New Roman"/>
        </w:rPr>
      </w:pPr>
      <w:r w:rsidRPr="00F37397">
        <w:rPr>
          <w:rFonts w:ascii="Times New Roman" w:hAnsi="Times New Roman"/>
        </w:rPr>
        <w:t>Отпечатано 3 экз.: 2 — общий отдел, 1 – бухгалтерия</w:t>
      </w:r>
    </w:p>
    <w:p w:rsidR="00297558" w:rsidRDefault="00297558" w:rsidP="00297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97558" w:rsidRPr="00D741F0" w:rsidRDefault="00297558" w:rsidP="00297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741F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</w:p>
    <w:p w:rsidR="00297558" w:rsidRPr="00D741F0" w:rsidRDefault="00297558" w:rsidP="00297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D741F0">
        <w:rPr>
          <w:rFonts w:ascii="Times New Roman" w:hAnsi="Times New Roman"/>
        </w:rPr>
        <w:t>остановлению Администрации</w:t>
      </w:r>
    </w:p>
    <w:p w:rsidR="00297558" w:rsidRPr="00D741F0" w:rsidRDefault="00297558" w:rsidP="00297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Тимирязевское</w:t>
      </w:r>
      <w:proofErr w:type="spellEnd"/>
      <w:r w:rsidRPr="00D741F0">
        <w:rPr>
          <w:rFonts w:ascii="Times New Roman" w:hAnsi="Times New Roman"/>
        </w:rPr>
        <w:t xml:space="preserve"> сельское поселение»</w:t>
      </w:r>
    </w:p>
    <w:p w:rsidR="00297558" w:rsidRPr="002F098E" w:rsidRDefault="00297558" w:rsidP="00297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>№_______от __________</w:t>
      </w:r>
      <w:r w:rsidR="00B04DD6">
        <w:rPr>
          <w:rFonts w:ascii="Times New Roman" w:hAnsi="Times New Roman"/>
          <w:sz w:val="24"/>
          <w:szCs w:val="24"/>
        </w:rPr>
        <w:t>202</w:t>
      </w:r>
      <w:r w:rsidR="00B6673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</w:t>
      </w:r>
      <w:r w:rsidRPr="002F098E">
        <w:rPr>
          <w:rFonts w:ascii="Times New Roman" w:hAnsi="Times New Roman"/>
          <w:sz w:val="24"/>
          <w:szCs w:val="24"/>
        </w:rPr>
        <w:t>.</w:t>
      </w:r>
      <w:r w:rsidRPr="002F098E">
        <w:rPr>
          <w:rFonts w:ascii="Times New Roman" w:hAnsi="Times New Roman"/>
          <w:sz w:val="24"/>
          <w:szCs w:val="24"/>
          <w:u w:val="single"/>
        </w:rPr>
        <w:t xml:space="preserve">           </w:t>
      </w:r>
    </w:p>
    <w:p w:rsidR="00297558" w:rsidRDefault="00297558" w:rsidP="00297558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7558" w:rsidRPr="002F098E" w:rsidRDefault="00297558" w:rsidP="00297558">
      <w:pPr>
        <w:spacing w:after="0" w:line="240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Порядок </w:t>
      </w:r>
    </w:p>
    <w:p w:rsidR="00297558" w:rsidRPr="002F098E" w:rsidRDefault="00297558" w:rsidP="00297558">
      <w:pPr>
        <w:spacing w:after="0" w:line="240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расходования субвенций из федерального бюджета на осуществление полномочий по </w:t>
      </w:r>
    </w:p>
    <w:p w:rsidR="00297558" w:rsidRPr="002F098E" w:rsidRDefault="00297558" w:rsidP="00297558">
      <w:pPr>
        <w:spacing w:after="0" w:line="240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первичному воинскому </w:t>
      </w:r>
      <w:r w:rsidR="00B6673D" w:rsidRPr="002F098E">
        <w:rPr>
          <w:rFonts w:ascii="Times New Roman" w:eastAsia="Times New Roman" w:hAnsi="Times New Roman"/>
          <w:b/>
          <w:sz w:val="24"/>
          <w:szCs w:val="24"/>
        </w:rPr>
        <w:t>учету на</w:t>
      </w: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Тимирязевское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6673D">
        <w:rPr>
          <w:rFonts w:ascii="Times New Roman" w:eastAsia="Times New Roman" w:hAnsi="Times New Roman"/>
          <w:b/>
          <w:sz w:val="24"/>
          <w:szCs w:val="24"/>
        </w:rPr>
        <w:t>сельское поселение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297558" w:rsidRPr="002F098E" w:rsidRDefault="00297558" w:rsidP="00297558">
      <w:pPr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 w:line="240" w:lineRule="auto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1.Общие положения </w:t>
      </w:r>
    </w:p>
    <w:p w:rsidR="00297558" w:rsidRPr="002F098E" w:rsidRDefault="00297558" w:rsidP="00297558">
      <w:pPr>
        <w:spacing w:after="23" w:line="240" w:lineRule="auto"/>
        <w:jc w:val="center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1.1. Настоящий Порядок разработан на основании постановления Правительства РФ от 29 апреля 2006 года № 258 «О субвенциях на осуществление полномочий по первичному воинскому учету на территориях, где отсутствуют военные комиссариаты» (с изменениями от 14.11.2007 года, 27.01., 03.10.2009 года), приказа Министра обороны от 19.11.2007 года № 500 «О мерах по выполнению в Вооруженных Силах РФ, Постановления  Правительства РФ от 27.11.2006 года № 719»,  ст. 8 «Организация воинского учета» ФЗ от 28.03.1998 года № 53-ФЗ  «О воинской обязанности и военной службе»,  ст.133,140 Бюджетного кодекса и направлено на реализацию полномочий, передаваемых РФ  органами местного самоуправления полномочий на осуществление первичного воинского учета на территории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поселение».</w:t>
      </w:r>
      <w:r w:rsidRPr="002F098E">
        <w:rPr>
          <w:rFonts w:ascii="Times New Roman" w:hAnsi="Times New Roman"/>
          <w:sz w:val="24"/>
          <w:szCs w:val="24"/>
        </w:rPr>
        <w:t xml:space="preserve"> Настоящий Порядок определяет порядок планирования и расходования субвенций на осуществление полномочий по первичному воинскому учету на территории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F098E">
        <w:rPr>
          <w:rFonts w:ascii="Times New Roman" w:hAnsi="Times New Roman"/>
          <w:sz w:val="24"/>
          <w:szCs w:val="24"/>
        </w:rPr>
        <w:t xml:space="preserve">. </w:t>
      </w:r>
    </w:p>
    <w:p w:rsidR="00297558" w:rsidRPr="002F098E" w:rsidRDefault="00297558" w:rsidP="00297558">
      <w:pPr>
        <w:numPr>
          <w:ilvl w:val="1"/>
          <w:numId w:val="1"/>
        </w:numPr>
        <w:spacing w:after="0" w:line="23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Размер средств, передаваемых органам местного самоуправления, определяется исходя из количества граждан, состоящих на первичном воинском учете по состоянию на 31 декабря предшествующего года, и методики распределения между субъектами РФ субвенций из федерального бюджета на осуществление полномочий по первичному учету на территориях, где отсутствуют военные комиссариаты. </w:t>
      </w:r>
    </w:p>
    <w:p w:rsidR="00297558" w:rsidRPr="002F098E" w:rsidRDefault="00297558" w:rsidP="00297558">
      <w:pPr>
        <w:numPr>
          <w:ilvl w:val="1"/>
          <w:numId w:val="1"/>
        </w:numPr>
        <w:spacing w:after="0" w:line="23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Финансирование субвенций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МО «Майкопский район»</w:t>
      </w:r>
      <w:r w:rsidRPr="002F098E">
        <w:rPr>
          <w:rFonts w:ascii="Times New Roman" w:hAnsi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/>
          <w:sz w:val="24"/>
          <w:szCs w:val="24"/>
        </w:rPr>
        <w:t>Решением</w:t>
      </w:r>
      <w:r w:rsidRPr="002F0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«Майкопский район» </w:t>
      </w:r>
      <w:r w:rsidRPr="002F098E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МО «Майкопский район» </w:t>
      </w:r>
      <w:r w:rsidRPr="002F098E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период. </w:t>
      </w:r>
    </w:p>
    <w:p w:rsidR="00297558" w:rsidRPr="002F098E" w:rsidRDefault="00297558" w:rsidP="00297558">
      <w:pPr>
        <w:numPr>
          <w:ilvl w:val="1"/>
          <w:numId w:val="1"/>
        </w:numPr>
        <w:spacing w:after="0" w:line="23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Субвенции предоставляются в пределах бюджетных ассигнований и лимитов бюджетных обязательств, утвержденных </w:t>
      </w:r>
      <w:r>
        <w:rPr>
          <w:rFonts w:ascii="Times New Roman" w:hAnsi="Times New Roman"/>
          <w:sz w:val="24"/>
          <w:szCs w:val="24"/>
        </w:rPr>
        <w:t>Решением</w:t>
      </w:r>
      <w:r w:rsidRPr="002F0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«Майкопский район» </w:t>
      </w:r>
      <w:r w:rsidRPr="002F098E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МО «Майкопский район» </w:t>
      </w:r>
      <w:r w:rsidRPr="002F098E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297558" w:rsidRPr="002F098E" w:rsidRDefault="00297558" w:rsidP="00297558">
      <w:pPr>
        <w:numPr>
          <w:ilvl w:val="1"/>
          <w:numId w:val="1"/>
        </w:numPr>
        <w:spacing w:after="0" w:line="23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Субвенции, передаваемые бюджету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F098E">
        <w:rPr>
          <w:rFonts w:ascii="Times New Roman" w:hAnsi="Times New Roman"/>
          <w:sz w:val="24"/>
          <w:szCs w:val="24"/>
        </w:rPr>
        <w:t xml:space="preserve">, зачисляются в бюджет поселения и учитываются в составе доходов бюджета муниципального образования в соответствии с бюджетной классификацией. </w:t>
      </w:r>
    </w:p>
    <w:p w:rsidR="00297558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558" w:rsidRPr="002F098E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558" w:rsidRPr="002F098E" w:rsidRDefault="00297558" w:rsidP="00297558">
      <w:pPr>
        <w:spacing w:after="0" w:line="240" w:lineRule="auto"/>
        <w:ind w:right="-15" w:hanging="1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>2. Порядок расходования субвенций</w:t>
      </w: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      Установить следующие нормы расходов на содержание военно-учетных работников, осуществляющих воинский учет на территории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F098E">
        <w:rPr>
          <w:rFonts w:ascii="Times New Roman" w:hAnsi="Times New Roman"/>
          <w:sz w:val="24"/>
          <w:szCs w:val="24"/>
        </w:rPr>
        <w:t xml:space="preserve">.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2.1. Объем средств, необходимых на выплату заработной платы работникам, осуществляющим первичный воинский учет, определяется с учетом норм содержания освобожденных   военно-учетных   работников  и   работников по совместительству, установленных Положением о воинском учете,  согласно пункта 11 Положения о воинском учете, утвержденного постановлением Правительства РФ от 27.11.2006 года № 719, число </w:t>
      </w:r>
      <w:r w:rsidRPr="002F098E">
        <w:rPr>
          <w:rFonts w:ascii="Times New Roman" w:hAnsi="Times New Roman"/>
          <w:sz w:val="24"/>
          <w:szCs w:val="24"/>
        </w:rPr>
        <w:lastRenderedPageBreak/>
        <w:t xml:space="preserve">работников, осуществляющих воинский учет в органах местного самоуправления, определяется с учетом следующих норм:  </w:t>
      </w:r>
    </w:p>
    <w:p w:rsidR="00297558" w:rsidRPr="002F098E" w:rsidRDefault="00297558" w:rsidP="00297558">
      <w:pPr>
        <w:numPr>
          <w:ilvl w:val="0"/>
          <w:numId w:val="2"/>
        </w:numPr>
        <w:spacing w:after="0" w:line="236" w:lineRule="auto"/>
        <w:ind w:left="0" w:right="437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1 работник, выполняющий обязанности по совместительству, - при наличии на воинском учете менее 500 граждан; </w:t>
      </w:r>
    </w:p>
    <w:p w:rsidR="00297558" w:rsidRPr="002F098E" w:rsidRDefault="00297558" w:rsidP="00297558">
      <w:pPr>
        <w:numPr>
          <w:ilvl w:val="0"/>
          <w:numId w:val="2"/>
        </w:numPr>
        <w:spacing w:after="0" w:line="236" w:lineRule="auto"/>
        <w:ind w:left="0" w:right="437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1 освобожденный работник – при наличии на воинском учете от 500 до 1000 граждан; - 1 освобожденный работник на каждую последующую 1000 граждан.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Расчет размера среднего заработка для определения объема затрат на его выплату основан на информации Управления нормирования и регулирования оплаты труда Департамента социальных гарантий Минобороны России и, исходя из предельных объемов бюджетных ассигнований из бюджета Пермского края на предоставление субвенций на очередной финансовый год и плановый период.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Расчет годового фонда оплаты труда военно-учетного работника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98E">
        <w:rPr>
          <w:rFonts w:ascii="Times New Roman" w:hAnsi="Times New Roman"/>
          <w:sz w:val="24"/>
          <w:szCs w:val="24"/>
        </w:rPr>
        <w:t>ФОТi</w:t>
      </w:r>
      <w:proofErr w:type="spellEnd"/>
      <w:r w:rsidRPr="002F098E">
        <w:rPr>
          <w:rFonts w:ascii="Times New Roman" w:hAnsi="Times New Roman"/>
          <w:sz w:val="24"/>
          <w:szCs w:val="24"/>
        </w:rPr>
        <w:t xml:space="preserve"> = Д/О ср x К x (</w:t>
      </w:r>
      <w:proofErr w:type="spellStart"/>
      <w:r w:rsidRPr="002F098E">
        <w:rPr>
          <w:rFonts w:ascii="Times New Roman" w:hAnsi="Times New Roman"/>
          <w:sz w:val="24"/>
          <w:szCs w:val="24"/>
        </w:rPr>
        <w:t>Рк</w:t>
      </w:r>
      <w:proofErr w:type="spellEnd"/>
      <w:r w:rsidRPr="002F098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F098E">
        <w:rPr>
          <w:rFonts w:ascii="Times New Roman" w:hAnsi="Times New Roman"/>
          <w:sz w:val="24"/>
          <w:szCs w:val="24"/>
        </w:rPr>
        <w:t>Нс</w:t>
      </w:r>
      <w:proofErr w:type="spellEnd"/>
      <w:r w:rsidRPr="002F098E">
        <w:rPr>
          <w:rFonts w:ascii="Times New Roman" w:hAnsi="Times New Roman"/>
          <w:sz w:val="24"/>
          <w:szCs w:val="24"/>
        </w:rPr>
        <w:t xml:space="preserve">) x </w:t>
      </w:r>
      <w:proofErr w:type="spellStart"/>
      <w:proofErr w:type="gramStart"/>
      <w:r w:rsidRPr="002F098E">
        <w:rPr>
          <w:rFonts w:ascii="Times New Roman" w:hAnsi="Times New Roman"/>
          <w:sz w:val="24"/>
          <w:szCs w:val="24"/>
        </w:rPr>
        <w:t>Нз</w:t>
      </w:r>
      <w:proofErr w:type="spellEnd"/>
      <w:r w:rsidRPr="002F098E">
        <w:rPr>
          <w:rFonts w:ascii="Times New Roman" w:hAnsi="Times New Roman"/>
          <w:sz w:val="24"/>
          <w:szCs w:val="24"/>
        </w:rPr>
        <w:t>,  где</w:t>
      </w:r>
      <w:proofErr w:type="gramEnd"/>
      <w:r w:rsidRPr="002F098E">
        <w:rPr>
          <w:rFonts w:ascii="Times New Roman" w:hAnsi="Times New Roman"/>
          <w:sz w:val="24"/>
          <w:szCs w:val="24"/>
        </w:rPr>
        <w:t xml:space="preserve"> 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Д/О ср - средний должностной оклад по схеме должностных окладов специалиста I категории в территориальных органах исполнительных органов государственной власти в муниципальных районах в зависимости от численности постоянного населения муниципальных образований;  </w:t>
      </w:r>
    </w:p>
    <w:p w:rsidR="00297558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>К - количество должностных окладов в год в соответствии с законодательством о денежном содержании госуд</w:t>
      </w:r>
      <w:r>
        <w:rPr>
          <w:rFonts w:ascii="Times New Roman" w:hAnsi="Times New Roman"/>
          <w:sz w:val="24"/>
          <w:szCs w:val="24"/>
        </w:rPr>
        <w:t>арственных гражданских служащих</w:t>
      </w:r>
      <w:r w:rsidRPr="002F098E">
        <w:rPr>
          <w:rFonts w:ascii="Times New Roman" w:hAnsi="Times New Roman"/>
          <w:sz w:val="24"/>
          <w:szCs w:val="24"/>
        </w:rPr>
        <w:t>;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98E">
        <w:rPr>
          <w:rFonts w:ascii="Times New Roman" w:hAnsi="Times New Roman"/>
          <w:sz w:val="24"/>
          <w:szCs w:val="24"/>
        </w:rPr>
        <w:t>Рк</w:t>
      </w:r>
      <w:proofErr w:type="spellEnd"/>
      <w:r w:rsidRPr="002F098E">
        <w:rPr>
          <w:rFonts w:ascii="Times New Roman" w:hAnsi="Times New Roman"/>
          <w:sz w:val="24"/>
          <w:szCs w:val="24"/>
        </w:rPr>
        <w:t xml:space="preserve"> - районный коэффициент; 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98E">
        <w:rPr>
          <w:rFonts w:ascii="Times New Roman" w:hAnsi="Times New Roman"/>
          <w:sz w:val="24"/>
          <w:szCs w:val="24"/>
        </w:rPr>
        <w:t>Нз</w:t>
      </w:r>
      <w:proofErr w:type="spellEnd"/>
      <w:r w:rsidRPr="002F098E">
        <w:rPr>
          <w:rFonts w:ascii="Times New Roman" w:hAnsi="Times New Roman"/>
          <w:sz w:val="24"/>
          <w:szCs w:val="24"/>
        </w:rPr>
        <w:t xml:space="preserve"> - коэффициент начислений на оплату труда.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В соответствии с нормами первичный воинский учет ведет один работник, выполняющий обязанности по совместительству на 0,4 ставки.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2.2. Норма обеспечения военно-учетного работника администрации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F098E">
        <w:rPr>
          <w:rFonts w:ascii="Times New Roman" w:hAnsi="Times New Roman"/>
          <w:sz w:val="24"/>
          <w:szCs w:val="24"/>
        </w:rPr>
        <w:t xml:space="preserve"> служебным помещением определяется с учетом размещения и создания необходимых условий для работы по осуществлению первичного учета, приема посетителей. Для работы военного учетного работника выделяется рабочий кабинет площадью до 5м.кв. либо рабочее место в общем помещении той же площадью.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2.3. Норма обеспечения военно-учетного работника администрации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F098E">
        <w:rPr>
          <w:rFonts w:ascii="Times New Roman" w:hAnsi="Times New Roman"/>
          <w:sz w:val="24"/>
          <w:szCs w:val="24"/>
        </w:rPr>
        <w:t xml:space="preserve"> средствами связи и доступом в интернет определяется с учетом размещения и создания необходимых условий для работы по осуществлению первичного учета, приема посетителей. Для работы военного учетного работника выделяется 1 стационарный телефон</w:t>
      </w:r>
      <w:r>
        <w:rPr>
          <w:rFonts w:ascii="Times New Roman" w:hAnsi="Times New Roman"/>
          <w:sz w:val="24"/>
          <w:szCs w:val="24"/>
        </w:rPr>
        <w:t>.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2.4 Сумма затрат на расходные материалы военно-учетного работника Администрации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F098E">
        <w:rPr>
          <w:rFonts w:ascii="Times New Roman" w:hAnsi="Times New Roman"/>
          <w:sz w:val="24"/>
          <w:szCs w:val="24"/>
        </w:rPr>
        <w:t xml:space="preserve"> (канцтовары, почтовые отправления и т. д.) определены потребностью выполнения функциональных обязанностей: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Бумага писчая (количество листов);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Карандаш, ручка шариковая, ручка гелиевая (штук);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Клей (штук);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Почтовые отправления (количество раз);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Картридж (приобретение и заправка); - бланки; - прочее.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2.5 Сумма затрат на обеспечение мебелью и инвентарем на одного военно-учетного работника администрации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F098E">
        <w:rPr>
          <w:rFonts w:ascii="Times New Roman" w:hAnsi="Times New Roman"/>
          <w:sz w:val="24"/>
          <w:szCs w:val="24"/>
        </w:rPr>
        <w:t xml:space="preserve"> при организации рабочего места определена исходя из норм эксплуатации: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Компьютер;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Принтер;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Телефон-факс;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Стол письменный;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Стул офисный;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98E">
        <w:rPr>
          <w:rFonts w:ascii="Times New Roman" w:hAnsi="Times New Roman"/>
          <w:sz w:val="24"/>
          <w:szCs w:val="24"/>
        </w:rPr>
        <w:t>Шкаф</w:t>
      </w:r>
      <w:proofErr w:type="gramEnd"/>
      <w:r w:rsidRPr="002F098E">
        <w:rPr>
          <w:rFonts w:ascii="Times New Roman" w:hAnsi="Times New Roman"/>
          <w:sz w:val="24"/>
          <w:szCs w:val="24"/>
        </w:rPr>
        <w:t xml:space="preserve"> комбинированный 2-х (3-х) створчатый;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Сейф; </w:t>
      </w:r>
    </w:p>
    <w:p w:rsidR="00297558" w:rsidRPr="002F098E" w:rsidRDefault="00297558" w:rsidP="00297558">
      <w:pPr>
        <w:numPr>
          <w:ilvl w:val="0"/>
          <w:numId w:val="3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lastRenderedPageBreak/>
        <w:t xml:space="preserve">Прочее. </w:t>
      </w:r>
    </w:p>
    <w:p w:rsidR="00297558" w:rsidRPr="002F098E" w:rsidRDefault="00297558" w:rsidP="00297558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2.6. Сумма затрат на программное обеспечение: Установка Программного комплекса– 1 раз; Обновление и обслуживание ПК – по мере необходимости. </w:t>
      </w:r>
    </w:p>
    <w:p w:rsidR="00297558" w:rsidRPr="002F098E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 w:line="240" w:lineRule="auto"/>
        <w:ind w:right="-15" w:hanging="1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3.Материально-техническое обеспечение. </w:t>
      </w:r>
    </w:p>
    <w:p w:rsidR="00297558" w:rsidRPr="002F098E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Под материально-техническим обеспечением деятельности органов местного самоуправления на осуществление полномочий по первичному воинскому учету на территориях, где отсутствуют военные комиссариаты, в целях настоящего Положения понимается осуществляемый на постоянной основе комплекс мероприятий, включающий:  </w:t>
      </w:r>
    </w:p>
    <w:p w:rsidR="00297558" w:rsidRPr="002F098E" w:rsidRDefault="00297558" w:rsidP="00297558">
      <w:pPr>
        <w:numPr>
          <w:ilvl w:val="1"/>
          <w:numId w:val="4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Организацию и содержание рабочих мест, в том числе оборудование мебелью, обеспечением средствами связи, канцелярскими принадлежностями. </w:t>
      </w:r>
    </w:p>
    <w:p w:rsidR="00297558" w:rsidRPr="002F098E" w:rsidRDefault="00297558" w:rsidP="00297558">
      <w:pPr>
        <w:numPr>
          <w:ilvl w:val="1"/>
          <w:numId w:val="4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Обеспечение компьютерной техникой, программным обеспечением, комплектующими и расходными материалами. </w:t>
      </w:r>
    </w:p>
    <w:p w:rsidR="00297558" w:rsidRPr="002F098E" w:rsidRDefault="00297558" w:rsidP="00297558">
      <w:pPr>
        <w:numPr>
          <w:ilvl w:val="1"/>
          <w:numId w:val="4"/>
        </w:numPr>
        <w:spacing w:after="0" w:line="2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Приобретение печатных изданий, необходимых для осуществления деятельности военно-учетных работников.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F098E">
        <w:rPr>
          <w:rFonts w:ascii="Times New Roman" w:hAnsi="Times New Roman"/>
          <w:sz w:val="24"/>
          <w:szCs w:val="24"/>
        </w:rPr>
        <w:t xml:space="preserve">Транспортное обслуживание деятельности военно-учетных работников в служебных </w:t>
      </w:r>
    </w:p>
    <w:p w:rsidR="00297558" w:rsidRPr="002F098E" w:rsidRDefault="00297558" w:rsidP="00297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целях. </w:t>
      </w:r>
    </w:p>
    <w:p w:rsidR="00297558" w:rsidRPr="002F098E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 w:line="240" w:lineRule="auto"/>
        <w:ind w:right="-15" w:hanging="1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4. Условия оплаты труда военно-учетных работников. </w:t>
      </w:r>
    </w:p>
    <w:p w:rsidR="00297558" w:rsidRPr="002F098E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97558" w:rsidRPr="002F098E" w:rsidRDefault="00297558" w:rsidP="00297558">
      <w:pPr>
        <w:numPr>
          <w:ilvl w:val="1"/>
          <w:numId w:val="5"/>
        </w:numPr>
        <w:spacing w:after="0" w:line="234" w:lineRule="auto"/>
        <w:ind w:left="0" w:right="-15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Порядок и условия оплаты труда военно-учетных работников устанавливаются органом местного самоуправления самостоятельно, в пределах выделенных из бюджета </w:t>
      </w:r>
      <w:r>
        <w:rPr>
          <w:rFonts w:ascii="Times New Roman" w:hAnsi="Times New Roman"/>
          <w:sz w:val="24"/>
          <w:szCs w:val="24"/>
        </w:rPr>
        <w:t>МО «Майкопский район»</w:t>
      </w:r>
      <w:r w:rsidRPr="002F098E">
        <w:rPr>
          <w:rFonts w:ascii="Times New Roman" w:hAnsi="Times New Roman"/>
          <w:sz w:val="24"/>
          <w:szCs w:val="24"/>
        </w:rPr>
        <w:t xml:space="preserve"> средств на эти цели, исходя из размера среднемесячной заработной платы с учетом страховых взносов, согласно расчета затрат на содержание военно-учетных работников местного самоуправления учтенных при распределении субвенций бюджетам субъектов РФ на осуществление полномочий по первичному воинскому учету на территориях, где отсутствуют военные комиссариаты на плановый период. </w:t>
      </w:r>
    </w:p>
    <w:p w:rsidR="00297558" w:rsidRDefault="00297558" w:rsidP="00297558">
      <w:pPr>
        <w:numPr>
          <w:ilvl w:val="1"/>
          <w:numId w:val="5"/>
        </w:numPr>
        <w:spacing w:after="0" w:line="234" w:lineRule="auto"/>
        <w:ind w:left="0" w:right="-15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>Орган местного самоуправления определяет годовую потребность на выплату заработной платы военно-учетным работникам, согласно утвержденным годовым лимитам, а также утвержденному штатному расписанию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7866">
        <w:rPr>
          <w:rFonts w:ascii="Times New Roman" w:hAnsi="Times New Roman"/>
          <w:sz w:val="24"/>
          <w:szCs w:val="24"/>
        </w:rPr>
        <w:t>не менее размера МРОТ утвержденного на текущий год.</w:t>
      </w: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Pr="002F098E" w:rsidRDefault="00297558" w:rsidP="00297558">
      <w:pPr>
        <w:numPr>
          <w:ilvl w:val="1"/>
          <w:numId w:val="5"/>
        </w:numPr>
        <w:spacing w:after="0" w:line="234" w:lineRule="auto"/>
        <w:ind w:left="0" w:right="-15" w:firstLine="417"/>
        <w:jc w:val="both"/>
        <w:rPr>
          <w:rFonts w:ascii="Times New Roman" w:hAnsi="Times New Roman"/>
          <w:sz w:val="24"/>
          <w:szCs w:val="24"/>
        </w:rPr>
      </w:pPr>
      <w:r w:rsidRPr="00742A3F">
        <w:rPr>
          <w:rFonts w:ascii="Times New Roman" w:hAnsi="Times New Roman"/>
          <w:sz w:val="24"/>
          <w:szCs w:val="24"/>
        </w:rPr>
        <w:t>При отсутствии расходов, а также экономии по отдельным статьям средства субвенции могут перераспределяться на другие статьи</w:t>
      </w:r>
      <w:r>
        <w:rPr>
          <w:rFonts w:ascii="Times New Roman" w:hAnsi="Times New Roman"/>
          <w:sz w:val="24"/>
          <w:szCs w:val="24"/>
        </w:rPr>
        <w:t>.</w:t>
      </w:r>
    </w:p>
    <w:p w:rsidR="00297558" w:rsidRPr="002F098E" w:rsidRDefault="00297558" w:rsidP="00297558">
      <w:pPr>
        <w:numPr>
          <w:ilvl w:val="1"/>
          <w:numId w:val="5"/>
        </w:numPr>
        <w:spacing w:after="0" w:line="236" w:lineRule="auto"/>
        <w:ind w:left="0" w:right="-15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Ответственность за своевременное и целевое расходование средств, достоверность представляемых сведений в финансовые органы и военный комиссариат </w:t>
      </w:r>
      <w:r>
        <w:rPr>
          <w:rFonts w:ascii="Times New Roman" w:hAnsi="Times New Roman"/>
          <w:sz w:val="24"/>
          <w:szCs w:val="24"/>
        </w:rPr>
        <w:t>Майкопского района</w:t>
      </w:r>
      <w:r w:rsidRPr="002F098E">
        <w:rPr>
          <w:rFonts w:ascii="Times New Roman" w:hAnsi="Times New Roman"/>
          <w:sz w:val="24"/>
          <w:szCs w:val="24"/>
        </w:rPr>
        <w:t xml:space="preserve">, возлагаются на орган местного самоуправления муниципального образования (главу администрации муниципального образования). </w:t>
      </w:r>
    </w:p>
    <w:p w:rsidR="00297558" w:rsidRPr="002F098E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 w:line="240" w:lineRule="auto"/>
        <w:ind w:right="-15" w:hanging="1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eastAsia="Times New Roman" w:hAnsi="Times New Roman"/>
          <w:b/>
          <w:sz w:val="24"/>
          <w:szCs w:val="24"/>
        </w:rPr>
        <w:t xml:space="preserve">5. Отчетность и контроль за расходованием средств </w:t>
      </w:r>
    </w:p>
    <w:p w:rsidR="00297558" w:rsidRPr="002F098E" w:rsidRDefault="00297558" w:rsidP="00297558">
      <w:pPr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Pr="002F098E" w:rsidRDefault="00297558" w:rsidP="00297558">
      <w:pPr>
        <w:numPr>
          <w:ilvl w:val="1"/>
          <w:numId w:val="6"/>
        </w:numPr>
        <w:spacing w:after="0" w:line="236" w:lineRule="auto"/>
        <w:ind w:left="0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Орган местного самоуправления ежеквартально до </w:t>
      </w:r>
      <w:r w:rsidR="00B66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F098E">
        <w:rPr>
          <w:rFonts w:ascii="Times New Roman" w:hAnsi="Times New Roman"/>
          <w:sz w:val="24"/>
          <w:szCs w:val="24"/>
        </w:rPr>
        <w:t xml:space="preserve"> числа месяца, следующего за отчетным кварталом, представляют в </w:t>
      </w:r>
      <w:r w:rsidR="00B6673D">
        <w:rPr>
          <w:rFonts w:ascii="Times New Roman" w:hAnsi="Times New Roman"/>
          <w:sz w:val="24"/>
          <w:szCs w:val="24"/>
        </w:rPr>
        <w:t>Комитет по взаимодействию с органами сельских поселений</w:t>
      </w:r>
      <w:r w:rsidRPr="002F098E">
        <w:rPr>
          <w:rFonts w:ascii="Times New Roman" w:hAnsi="Times New Roman"/>
          <w:sz w:val="24"/>
          <w:szCs w:val="24"/>
        </w:rPr>
        <w:t xml:space="preserve"> отчет об использовании субвенций, переданных из</w:t>
      </w:r>
      <w:r w:rsidR="00B6673D">
        <w:rPr>
          <w:rFonts w:ascii="Times New Roman" w:hAnsi="Times New Roman"/>
          <w:sz w:val="24"/>
          <w:szCs w:val="24"/>
        </w:rPr>
        <w:t xml:space="preserve"> федерального</w:t>
      </w:r>
      <w:r w:rsidRPr="002F098E">
        <w:rPr>
          <w:rFonts w:ascii="Times New Roman" w:hAnsi="Times New Roman"/>
          <w:sz w:val="24"/>
          <w:szCs w:val="24"/>
        </w:rPr>
        <w:t xml:space="preserve"> бюджета органам местного самоуправления на осуществление государственных полномочий по первичному воинскому учету на территориях, где отсутствуют военные комиссариаты, по форме, утвержденной  Приложением к Приказу Минфина РФ от 03.07.2006 № 90н «Об утверждении формы квартальной отчетности о расходовании субвенций на осуществление полномочий по первичному воинскому учету на территориях, где от</w:t>
      </w:r>
      <w:r>
        <w:rPr>
          <w:rFonts w:ascii="Times New Roman" w:hAnsi="Times New Roman"/>
          <w:sz w:val="24"/>
          <w:szCs w:val="24"/>
        </w:rPr>
        <w:t>сутствуют военные комиссариаты».</w:t>
      </w:r>
    </w:p>
    <w:p w:rsidR="00297558" w:rsidRPr="002F098E" w:rsidRDefault="00297558" w:rsidP="00297558">
      <w:pPr>
        <w:numPr>
          <w:ilvl w:val="1"/>
          <w:numId w:val="6"/>
        </w:numPr>
        <w:spacing w:after="0" w:line="236" w:lineRule="auto"/>
        <w:ind w:left="0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Субвенции носят целевой характер и не могут быть использованы на другие цели. </w:t>
      </w:r>
    </w:p>
    <w:p w:rsidR="00297558" w:rsidRPr="002F098E" w:rsidRDefault="00297558" w:rsidP="00297558">
      <w:pPr>
        <w:numPr>
          <w:ilvl w:val="1"/>
          <w:numId w:val="6"/>
        </w:numPr>
        <w:spacing w:after="0" w:line="236" w:lineRule="auto"/>
        <w:ind w:left="0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Контроль за целевым использованием средств осуществляет орган местного самоуправления, Контрольно-счетная палата </w:t>
      </w:r>
      <w:r>
        <w:rPr>
          <w:rFonts w:ascii="Times New Roman" w:hAnsi="Times New Roman"/>
          <w:sz w:val="24"/>
          <w:szCs w:val="24"/>
        </w:rPr>
        <w:t>МО «Майкопский р</w:t>
      </w:r>
      <w:r w:rsidRPr="002F098E">
        <w:rPr>
          <w:rFonts w:ascii="Times New Roman" w:hAnsi="Times New Roman"/>
          <w:sz w:val="24"/>
          <w:szCs w:val="24"/>
        </w:rPr>
        <w:t>айон</w:t>
      </w:r>
      <w:r>
        <w:rPr>
          <w:rFonts w:ascii="Times New Roman" w:hAnsi="Times New Roman"/>
          <w:sz w:val="24"/>
          <w:szCs w:val="24"/>
        </w:rPr>
        <w:t>»</w:t>
      </w:r>
      <w:r w:rsidRPr="002F098E">
        <w:rPr>
          <w:rFonts w:ascii="Times New Roman" w:hAnsi="Times New Roman"/>
          <w:sz w:val="24"/>
          <w:szCs w:val="24"/>
        </w:rPr>
        <w:t xml:space="preserve"> на основании </w:t>
      </w:r>
      <w:r w:rsidRPr="002F098E">
        <w:rPr>
          <w:rFonts w:ascii="Times New Roman" w:hAnsi="Times New Roman"/>
          <w:sz w:val="24"/>
          <w:szCs w:val="24"/>
        </w:rPr>
        <w:lastRenderedPageBreak/>
        <w:t>заключенного Соглашения о сотрудничестве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098E">
        <w:rPr>
          <w:rFonts w:ascii="Times New Roman" w:hAnsi="Times New Roman"/>
          <w:sz w:val="24"/>
          <w:szCs w:val="24"/>
        </w:rPr>
        <w:t xml:space="preserve">Управление финансов </w:t>
      </w:r>
      <w:r>
        <w:rPr>
          <w:rFonts w:ascii="Times New Roman" w:hAnsi="Times New Roman"/>
          <w:sz w:val="24"/>
          <w:szCs w:val="24"/>
        </w:rPr>
        <w:t>МО «Майкопский р</w:t>
      </w:r>
      <w:r w:rsidRPr="002F098E">
        <w:rPr>
          <w:rFonts w:ascii="Times New Roman" w:hAnsi="Times New Roman"/>
          <w:sz w:val="24"/>
          <w:szCs w:val="24"/>
        </w:rPr>
        <w:t>айон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2F098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97558" w:rsidRPr="002F098E" w:rsidRDefault="00297558" w:rsidP="00297558">
      <w:pPr>
        <w:numPr>
          <w:ilvl w:val="1"/>
          <w:numId w:val="6"/>
        </w:numPr>
        <w:spacing w:after="0" w:line="236" w:lineRule="auto"/>
        <w:ind w:left="0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Нецелевое использование субвенций или нарушение условий их предоставления (расходования), определенных настоящим Порядком, влекут применение бюджетных мер принуждения в соответствии с бюджетным законодательством. </w:t>
      </w:r>
    </w:p>
    <w:p w:rsidR="00297558" w:rsidRPr="007E1D41" w:rsidRDefault="00297558" w:rsidP="00297558">
      <w:pPr>
        <w:numPr>
          <w:ilvl w:val="1"/>
          <w:numId w:val="6"/>
        </w:numPr>
        <w:spacing w:after="0" w:line="236" w:lineRule="auto"/>
        <w:ind w:left="0" w:firstLine="417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Не использованные по состоянию на 1 января очередного финансового года субвенции в течение текущего финансового года подлежат возврату в доход бюджета </w:t>
      </w:r>
      <w:r w:rsidRPr="007E1D41">
        <w:rPr>
          <w:rFonts w:ascii="Times New Roman" w:hAnsi="Times New Roman"/>
          <w:sz w:val="24"/>
          <w:szCs w:val="24"/>
        </w:rPr>
        <w:t>МО «Майкопский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D41">
        <w:rPr>
          <w:rFonts w:ascii="Times New Roman" w:hAnsi="Times New Roman"/>
          <w:sz w:val="24"/>
          <w:szCs w:val="24"/>
        </w:rPr>
        <w:t xml:space="preserve">в соответствии с порядком завершения операций по исполнению бюджета в текущем финансовом году, установленным Министерством финансов </w:t>
      </w:r>
      <w:r>
        <w:rPr>
          <w:rFonts w:ascii="Times New Roman" w:hAnsi="Times New Roman"/>
          <w:sz w:val="24"/>
          <w:szCs w:val="24"/>
        </w:rPr>
        <w:t>РА</w:t>
      </w:r>
      <w:r w:rsidRPr="007E1D41">
        <w:rPr>
          <w:rFonts w:ascii="Times New Roman" w:hAnsi="Times New Roman"/>
          <w:sz w:val="24"/>
          <w:szCs w:val="24"/>
        </w:rPr>
        <w:t xml:space="preserve">, с соблюдением общих требований, установленных Министерством финансов Российской Федерации. </w:t>
      </w:r>
    </w:p>
    <w:p w:rsidR="00297558" w:rsidRPr="002F098E" w:rsidRDefault="00297558" w:rsidP="00297558">
      <w:pPr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Pr="002F098E" w:rsidRDefault="00297558" w:rsidP="0029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 xml:space="preserve"> </w:t>
      </w: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97558" w:rsidRDefault="00297558" w:rsidP="00297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97558" w:rsidRPr="00D741F0" w:rsidRDefault="00297558" w:rsidP="00297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741F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</w:p>
    <w:p w:rsidR="00297558" w:rsidRPr="00D741F0" w:rsidRDefault="00297558" w:rsidP="00297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D741F0">
        <w:rPr>
          <w:rFonts w:ascii="Times New Roman" w:hAnsi="Times New Roman"/>
        </w:rPr>
        <w:t>остановлению Администрации</w:t>
      </w:r>
    </w:p>
    <w:p w:rsidR="00297558" w:rsidRPr="00D741F0" w:rsidRDefault="00297558" w:rsidP="00297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Тимирязевское</w:t>
      </w:r>
      <w:proofErr w:type="spellEnd"/>
      <w:r w:rsidRPr="00D741F0">
        <w:rPr>
          <w:rFonts w:ascii="Times New Roman" w:hAnsi="Times New Roman"/>
        </w:rPr>
        <w:t xml:space="preserve"> сельское поселение»</w:t>
      </w:r>
    </w:p>
    <w:p w:rsidR="00297558" w:rsidRPr="002F098E" w:rsidRDefault="00297558" w:rsidP="00297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098E">
        <w:rPr>
          <w:rFonts w:ascii="Times New Roman" w:hAnsi="Times New Roman"/>
          <w:sz w:val="24"/>
          <w:szCs w:val="24"/>
        </w:rPr>
        <w:t>№_______от __________</w:t>
      </w:r>
      <w:r w:rsidR="00B04DD6">
        <w:rPr>
          <w:rFonts w:ascii="Times New Roman" w:hAnsi="Times New Roman"/>
          <w:sz w:val="24"/>
          <w:szCs w:val="24"/>
        </w:rPr>
        <w:t>202</w:t>
      </w:r>
      <w:r w:rsidR="00B66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98E">
        <w:rPr>
          <w:rFonts w:ascii="Times New Roman" w:hAnsi="Times New Roman"/>
          <w:sz w:val="24"/>
          <w:szCs w:val="24"/>
        </w:rPr>
        <w:t>г.</w:t>
      </w:r>
      <w:r w:rsidRPr="002F098E">
        <w:rPr>
          <w:rFonts w:ascii="Times New Roman" w:hAnsi="Times New Roman"/>
          <w:sz w:val="24"/>
          <w:szCs w:val="24"/>
          <w:u w:val="single"/>
        </w:rPr>
        <w:t xml:space="preserve">           </w:t>
      </w:r>
    </w:p>
    <w:p w:rsidR="00297558" w:rsidRDefault="00297558" w:rsidP="00297558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7558" w:rsidRDefault="00297558" w:rsidP="002975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E6B">
        <w:rPr>
          <w:rFonts w:ascii="Times New Roman" w:hAnsi="Times New Roman"/>
          <w:b/>
          <w:sz w:val="24"/>
          <w:szCs w:val="24"/>
        </w:rPr>
        <w:t>Методика</w:t>
      </w:r>
    </w:p>
    <w:p w:rsidR="00297558" w:rsidRDefault="00297558" w:rsidP="002975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E6B">
        <w:rPr>
          <w:rFonts w:ascii="Times New Roman" w:hAnsi="Times New Roman"/>
          <w:b/>
          <w:sz w:val="24"/>
          <w:szCs w:val="24"/>
        </w:rPr>
        <w:t xml:space="preserve"> </w:t>
      </w:r>
      <w:r w:rsidRPr="009D635E">
        <w:rPr>
          <w:rFonts w:ascii="Times New Roman" w:hAnsi="Times New Roman"/>
          <w:b/>
          <w:sz w:val="24"/>
          <w:szCs w:val="24"/>
        </w:rPr>
        <w:t>расчёта затрат на осуществление полномочий по первичному воинскому учёту</w:t>
      </w:r>
      <w:r w:rsidRPr="00DE0E6B">
        <w:rPr>
          <w:rFonts w:ascii="Times New Roman" w:hAnsi="Times New Roman"/>
          <w:b/>
          <w:sz w:val="24"/>
          <w:szCs w:val="24"/>
        </w:rPr>
        <w:t xml:space="preserve"> на территории МО «</w:t>
      </w:r>
      <w:proofErr w:type="spellStart"/>
      <w:r w:rsidRPr="00DE0E6B">
        <w:rPr>
          <w:rFonts w:ascii="Times New Roman" w:hAnsi="Times New Roman"/>
          <w:b/>
          <w:sz w:val="24"/>
          <w:szCs w:val="24"/>
        </w:rPr>
        <w:t>Тимирязевское</w:t>
      </w:r>
      <w:proofErr w:type="spellEnd"/>
      <w:r w:rsidRPr="00DE0E6B">
        <w:rPr>
          <w:rFonts w:ascii="Times New Roman" w:hAnsi="Times New Roman"/>
          <w:b/>
          <w:sz w:val="24"/>
          <w:szCs w:val="24"/>
        </w:rPr>
        <w:t xml:space="preserve"> сельское поселение» на </w:t>
      </w:r>
      <w:r w:rsidR="00B04DD6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0E6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</w:t>
      </w:r>
    </w:p>
    <w:p w:rsidR="00297558" w:rsidRPr="009D635E" w:rsidRDefault="00297558" w:rsidP="00297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 затраты на одного военно-учётного работника поселения: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919"/>
        <w:gridCol w:w="1545"/>
      </w:tblGrid>
      <w:tr w:rsidR="00297558" w:rsidRPr="009D635E" w:rsidTr="00F14738">
        <w:trPr>
          <w:trHeight w:val="40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B04DD6" w:rsidP="00297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2975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7558" w:rsidRPr="009D63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297558" w:rsidRPr="009D635E" w:rsidTr="00F14738">
        <w:trPr>
          <w:trHeight w:val="40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B6673D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  <w:r w:rsidR="0029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297558" w:rsidRPr="009D635E" w:rsidTr="00F14738">
        <w:trPr>
          <w:trHeight w:val="40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B6673D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</w:t>
            </w:r>
            <w:r w:rsidR="0029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297558" w:rsidRPr="009D635E" w:rsidTr="00F14738">
        <w:trPr>
          <w:trHeight w:val="40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Канцелярские материалы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B6673D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29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297558" w:rsidRPr="009D635E" w:rsidTr="00F14738">
        <w:trPr>
          <w:trHeight w:val="40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затрат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297558" w:rsidP="00F1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7558" w:rsidRPr="009D635E" w:rsidRDefault="00B6673D" w:rsidP="00F14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241 6</w:t>
            </w:r>
            <w:r w:rsidR="002975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</w:tbl>
    <w:p w:rsidR="00297558" w:rsidRPr="009D635E" w:rsidRDefault="00297558" w:rsidP="00297558">
      <w:pPr>
        <w:jc w:val="center"/>
        <w:rPr>
          <w:rFonts w:ascii="Times New Roman" w:hAnsi="Times New Roman"/>
          <w:sz w:val="24"/>
          <w:szCs w:val="24"/>
        </w:rPr>
      </w:pPr>
    </w:p>
    <w:p w:rsidR="00297558" w:rsidRDefault="00297558" w:rsidP="00297558">
      <w:pPr>
        <w:jc w:val="center"/>
      </w:pPr>
    </w:p>
    <w:p w:rsidR="00297558" w:rsidRDefault="00297558" w:rsidP="00297558">
      <w:pPr>
        <w:jc w:val="center"/>
      </w:pPr>
    </w:p>
    <w:p w:rsidR="00297558" w:rsidRDefault="00297558" w:rsidP="00297558">
      <w:pPr>
        <w:jc w:val="center"/>
      </w:pPr>
    </w:p>
    <w:p w:rsidR="00297558" w:rsidRPr="00EB5A7C" w:rsidRDefault="00297558" w:rsidP="00297558">
      <w:pPr>
        <w:rPr>
          <w:sz w:val="20"/>
          <w:szCs w:val="20"/>
        </w:rPr>
      </w:pPr>
    </w:p>
    <w:p w:rsidR="00297558" w:rsidRDefault="00297558" w:rsidP="00297558"/>
    <w:p w:rsidR="00297558" w:rsidRPr="00DE0E6B" w:rsidRDefault="00297558" w:rsidP="002975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4C8" w:rsidRDefault="000A44C8"/>
    <w:sectPr w:rsidR="000A44C8" w:rsidSect="002F098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FAD"/>
    <w:multiLevelType w:val="multilevel"/>
    <w:tmpl w:val="ECEA79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C3AA0"/>
    <w:multiLevelType w:val="multilevel"/>
    <w:tmpl w:val="94AA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397757"/>
    <w:multiLevelType w:val="hybridMultilevel"/>
    <w:tmpl w:val="2B085752"/>
    <w:lvl w:ilvl="0" w:tplc="624C699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470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ED6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21E2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2DC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26A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CB72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F05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84A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5B5921"/>
    <w:multiLevelType w:val="multilevel"/>
    <w:tmpl w:val="1EFCEE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3362D8"/>
    <w:multiLevelType w:val="hybridMultilevel"/>
    <w:tmpl w:val="6A76AE6E"/>
    <w:lvl w:ilvl="0" w:tplc="5E40552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918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DCB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C70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28E9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C4C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416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638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4C91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133F41"/>
    <w:multiLevelType w:val="multilevel"/>
    <w:tmpl w:val="CB7C0D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58"/>
    <w:rsid w:val="000A44C8"/>
    <w:rsid w:val="00297558"/>
    <w:rsid w:val="00684FB1"/>
    <w:rsid w:val="00B04DD6"/>
    <w:rsid w:val="00B6673D"/>
    <w:rsid w:val="00D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E6C2-3596-4B9B-A309-3B181CF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5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75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1920</Words>
  <Characters>10949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</cp:revision>
  <cp:lastPrinted>2021-05-17T11:33:00Z</cp:lastPrinted>
  <dcterms:created xsi:type="dcterms:W3CDTF">2021-05-17T11:16:00Z</dcterms:created>
  <dcterms:modified xsi:type="dcterms:W3CDTF">2021-08-13T08:14:00Z</dcterms:modified>
</cp:coreProperties>
</file>